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60" w:firstLine="0"/>
        <w:jc w:val="center"/>
        <w:rPr>
          <w:rFonts w:ascii="Calibri" w:cs="Calibri" w:eastAsia="Calibri" w:hAnsi="Calibri"/>
          <w:b w:val="1"/>
          <w:color w:val="212529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48"/>
          <w:szCs w:val="48"/>
          <w:rtl w:val="0"/>
        </w:rPr>
        <w:t xml:space="preserve">Contrato de Adesão</w:t>
        <w:br w:type="textWrapping"/>
      </w:r>
    </w:p>
    <w:p w:rsidR="00000000" w:rsidDel="00000000" w:rsidP="00000000" w:rsidRDefault="00000000" w:rsidRPr="00000000" w14:paraId="00000002">
      <w:pPr>
        <w:spacing w:before="60" w:line="360" w:lineRule="auto"/>
        <w:ind w:left="6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Pelo presente instrumento digital de direito nos termos da lei em vigor, o usuário declara por sua livre e espontânea vontade que aceita todas as condições do presente contrato. Declara ainda ser maior de 18 anos, que todos os dados digitados no cadastro são verdadeiros e exatos nos termos dos documentos especificados.</w:t>
      </w:r>
    </w:p>
    <w:p w:rsidR="00000000" w:rsidDel="00000000" w:rsidP="00000000" w:rsidRDefault="00000000" w:rsidRPr="00000000" w14:paraId="00000003">
      <w:pPr>
        <w:spacing w:before="260" w:line="360" w:lineRule="auto"/>
        <w:ind w:left="4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A senha e o login escolhidos pelo usuário são pessoais e intransferíveis, O usuário se compromete também a não divulgar a sua senha a terceiros, não escrever em papel, não guardar em pastas do computador, no entanto, se o improvável acontecer o mesmo deverá enviar imediatamente um "e-mail", comunicando o fato ao portal de leilões para que o cadastro seja bloqueado, impedindo o uso por terceiros em seu nome.</w:t>
      </w:r>
    </w:p>
    <w:p w:rsidR="00000000" w:rsidDel="00000000" w:rsidP="00000000" w:rsidRDefault="00000000" w:rsidRPr="00000000" w14:paraId="00000004">
      <w:pPr>
        <w:spacing w:before="260" w:line="360" w:lineRule="auto"/>
        <w:ind w:left="6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 usuário será responsável por todas as ofertas registradas em seu nome no portal de leilões, exceto quando um dos fatos alheios a sua vontade e devidamente comunicado ao portal nos termos da cláusula específica.</w:t>
      </w:r>
    </w:p>
    <w:p w:rsidR="00000000" w:rsidDel="00000000" w:rsidP="00000000" w:rsidRDefault="00000000" w:rsidRPr="00000000" w14:paraId="00000005">
      <w:pPr>
        <w:spacing w:before="260" w:line="360" w:lineRule="auto"/>
        <w:ind w:left="4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 portal de leilão poderá suspender sem aviso prévio, cancelar, ou eliminar o cadastro do usuário por descumprimento de cláusula contratual, bem como, propor ação judicial por descumprimento de cláusula contratual assinada entre as parte se fizer necessário; para tanto, de comum acordo elegem a comarca do Leiloeiro, para dirimir quaisquer dúvidas que possa vir a ocorrer.</w:t>
      </w:r>
    </w:p>
    <w:p w:rsidR="00000000" w:rsidDel="00000000" w:rsidP="00000000" w:rsidRDefault="00000000" w:rsidRPr="00000000" w14:paraId="00000006">
      <w:pPr>
        <w:spacing w:before="260" w:line="360" w:lineRule="auto"/>
        <w:ind w:left="6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Os lotes ofertados em leilão on-line ou de viva voz terão horários previstos de início e encerramento, o cronômetro será mostrado dentro do próprio lote on-line.</w:t>
      </w:r>
    </w:p>
    <w:p w:rsidR="00000000" w:rsidDel="00000000" w:rsidP="00000000" w:rsidRDefault="00000000" w:rsidRPr="00000000" w14:paraId="00000007">
      <w:pPr>
        <w:spacing w:before="320" w:line="360" w:lineRule="auto"/>
        <w:ind w:left="4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Os horários de início e de encerramento do leilão apresentados no cronômetro digital do portal real time serão estendidos por mais tempo caso seja feita uma nova oferta</w:t>
      </w:r>
    </w:p>
    <w:p w:rsidR="00000000" w:rsidDel="00000000" w:rsidP="00000000" w:rsidRDefault="00000000" w:rsidRPr="00000000" w14:paraId="00000008">
      <w:pPr>
        <w:spacing w:before="320" w:line="360" w:lineRule="auto"/>
        <w:ind w:left="4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on-line nos últimos segundos que antecedem ao encerramento estabelecido em edital; prevalecendo o direito de vencedor para o maior lance ofertado pela via digital ou não no momento do encerramento estendido.</w:t>
      </w:r>
    </w:p>
    <w:p w:rsidR="00000000" w:rsidDel="00000000" w:rsidP="00000000" w:rsidRDefault="00000000" w:rsidRPr="00000000" w14:paraId="00000009">
      <w:pPr>
        <w:spacing w:before="260" w:line="360" w:lineRule="auto"/>
        <w:ind w:left="4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Toda e qualquer transação feita fora do portal de leilão, previamente contratado e divulgado pelas vias de comunicação específica ou não, entre o usuário e a comitente vendedora, sem a intervenção direta ou indireta do Leiloeiro Oficial, será de responsabilização única e exclusiva das partes, sujeitando-as ainda às penalidades cabíveis nos termos da lei por eventuais prejuízos a terceiros, pela comissão devida ao leilão, custo de remoção, guarda e custa processual se for o caso.</w:t>
      </w:r>
    </w:p>
    <w:p w:rsidR="00000000" w:rsidDel="00000000" w:rsidP="00000000" w:rsidRDefault="00000000" w:rsidRPr="00000000" w14:paraId="0000000A">
      <w:pPr>
        <w:spacing w:before="260" w:line="360" w:lineRule="auto"/>
        <w:ind w:left="4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br w:type="textWrapping"/>
        <w:t xml:space="preserve">________________________________________________________</w:t>
        <w:br w:type="textWrapping"/>
        <w:t xml:space="preserve"> NOME/RAZÃO SOCIAL</w:t>
      </w:r>
    </w:p>
    <w:p w:rsidR="00000000" w:rsidDel="00000000" w:rsidP="00000000" w:rsidRDefault="00000000" w:rsidRPr="00000000" w14:paraId="0000000B">
      <w:pPr>
        <w:spacing w:before="260" w:line="360" w:lineRule="auto"/>
        <w:ind w:left="4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br w:type="textWrapping"/>
        <w:t xml:space="preserve"> __________________________________</w:t>
        <w:br w:type="textWrapping"/>
        <w:t xml:space="preserve"> CPF/CNPJ</w:t>
      </w:r>
    </w:p>
    <w:p w:rsidR="00000000" w:rsidDel="00000000" w:rsidP="00000000" w:rsidRDefault="00000000" w:rsidRPr="00000000" w14:paraId="0000000C">
      <w:pPr>
        <w:spacing w:before="260" w:line="360" w:lineRule="auto"/>
        <w:ind w:left="4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360" w:lineRule="auto"/>
        <w:ind w:left="40" w:right="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spacing w:before="240" w:line="360" w:lineRule="auto"/>
        <w:ind w:left="40" w:right="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275.5905511811022" w:right="1138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sz w:val="14"/>
        <w:szCs w:val="14"/>
        <w:rtl w:val="0"/>
      </w:rPr>
      <w:t xml:space="preserve">Est. Municipal Teodor Condiev, 970 - Jd.  Marchissolo -10° andar, Sumaré/SP. CEP 13171-105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sz w:val="14"/>
        <w:szCs w:val="14"/>
      </w:rPr>
    </w:pPr>
    <w:r w:rsidDel="00000000" w:rsidR="00000000" w:rsidRPr="00000000">
      <w:rPr>
        <w:rFonts w:ascii="Lato" w:cs="Lato" w:eastAsia="Lato" w:hAnsi="Lato"/>
        <w:sz w:val="14"/>
        <w:szCs w:val="14"/>
        <w:rtl w:val="0"/>
      </w:rPr>
      <w:t xml:space="preserve">(19) 3514.3789 | contato@atenapreparadora.com.br | www.</w:t>
    </w:r>
    <w:r w:rsidDel="00000000" w:rsidR="00000000" w:rsidRPr="00000000">
      <w:rPr>
        <w:rFonts w:ascii="Lato" w:cs="Lato" w:eastAsia="Lato" w:hAnsi="Lato"/>
        <w:b w:val="1"/>
        <w:sz w:val="14"/>
        <w:szCs w:val="14"/>
        <w:rtl w:val="0"/>
      </w:rPr>
      <w:t xml:space="preserve">atenapreparadora</w:t>
    </w:r>
    <w:r w:rsidDel="00000000" w:rsidR="00000000" w:rsidRPr="00000000">
      <w:rPr>
        <w:rFonts w:ascii="Lato" w:cs="Lato" w:eastAsia="Lato" w:hAnsi="Lato"/>
        <w:sz w:val="14"/>
        <w:szCs w:val="14"/>
        <w:rtl w:val="0"/>
      </w:rPr>
      <w:t xml:space="preserve">.com.br </w:t>
    </w:r>
  </w:p>
  <w:p w:rsidR="00000000" w:rsidDel="00000000" w:rsidP="00000000" w:rsidRDefault="00000000" w:rsidRPr="00000000" w14:paraId="0000001E">
    <w:pPr>
      <w:pageBreakBefore w:val="0"/>
      <w:tabs>
        <w:tab w:val="center" w:leader="none" w:pos="4252"/>
        <w:tab w:val="right" w:leader="none" w:pos="8504"/>
      </w:tabs>
      <w:jc w:val="center"/>
      <w:rPr>
        <w:rFonts w:ascii="Lato" w:cs="Lato" w:eastAsia="Lato" w:hAnsi="Lato"/>
        <w:sz w:val="14"/>
        <w:szCs w:val="14"/>
      </w:rPr>
    </w:pPr>
    <w:r w:rsidDel="00000000" w:rsidR="00000000" w:rsidRPr="00000000">
      <w:rPr>
        <w:rFonts w:ascii="Lato" w:cs="Lato" w:eastAsia="Lato" w:hAnsi="Lato"/>
        <w:sz w:val="14"/>
        <w:szCs w:val="14"/>
        <w:rtl w:val="0"/>
      </w:rPr>
      <w:t xml:space="preserve"> (19) 3803.9000 | sac@sumareleiloes.com.br | www.</w:t>
    </w:r>
    <w:r w:rsidDel="00000000" w:rsidR="00000000" w:rsidRPr="00000000">
      <w:rPr>
        <w:rFonts w:ascii="Lato" w:cs="Lato" w:eastAsia="Lato" w:hAnsi="Lato"/>
        <w:b w:val="1"/>
        <w:sz w:val="14"/>
        <w:szCs w:val="14"/>
        <w:rtl w:val="0"/>
      </w:rPr>
      <w:t xml:space="preserve">sumareleiloes</w:t>
    </w:r>
    <w:r w:rsidDel="00000000" w:rsidR="00000000" w:rsidRPr="00000000">
      <w:rPr>
        <w:rFonts w:ascii="Lato" w:cs="Lato" w:eastAsia="Lato" w:hAnsi="Lato"/>
        <w:sz w:val="14"/>
        <w:szCs w:val="14"/>
        <w:rtl w:val="0"/>
      </w:rPr>
      <w:t xml:space="preserve">.com.br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5420678" cy="10011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0678" cy="10011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